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2617" w14:textId="3FF35624" w:rsidR="006E6481" w:rsidRDefault="00205BE1">
      <w:pPr>
        <w:pStyle w:val="Titreprincipal"/>
      </w:pPr>
      <w:r>
        <w:t>Modèle de la r</w:t>
      </w:r>
      <w:r w:rsidR="006E304C">
        <w:rPr>
          <w:color w:val="000000"/>
          <w:szCs w:val="40"/>
        </w:rPr>
        <w:t xml:space="preserve">éflexion et </w:t>
      </w:r>
      <w:r>
        <w:rPr>
          <w:color w:val="000000"/>
          <w:szCs w:val="40"/>
        </w:rPr>
        <w:t xml:space="preserve">de la </w:t>
      </w:r>
      <w:r w:rsidR="006E304C">
        <w:rPr>
          <w:color w:val="000000"/>
          <w:szCs w:val="40"/>
        </w:rPr>
        <w:t>réf</w:t>
      </w:r>
      <w:r w:rsidR="00E47336">
        <w:rPr>
          <w:color w:val="000000"/>
          <w:szCs w:val="40"/>
        </w:rPr>
        <w:t>raction de la lumière - Loi de S</w:t>
      </w:r>
      <w:r w:rsidR="006E304C">
        <w:rPr>
          <w:color w:val="000000"/>
          <w:szCs w:val="40"/>
        </w:rPr>
        <w:t xml:space="preserve">nell Descartes </w:t>
      </w:r>
    </w:p>
    <w:p w14:paraId="2D22231D" w14:textId="77777777" w:rsidR="006E6481" w:rsidRDefault="006E6481"/>
    <w:p w14:paraId="11A9D273" w14:textId="0033B2DC" w:rsidR="006E6481" w:rsidRDefault="006E304C">
      <w:pPr>
        <w:pStyle w:val="Titre3"/>
        <w:numPr>
          <w:ilvl w:val="2"/>
          <w:numId w:val="1"/>
        </w:numPr>
        <w:ind w:left="0" w:firstLine="0"/>
        <w:rPr>
          <w:rFonts w:ascii="Arial;Arial" w:hAnsi="Arial;Arial" w:cs="Arial;Arial"/>
          <w:b/>
          <w:u w:val="none"/>
        </w:rPr>
      </w:pPr>
      <w:r>
        <w:rPr>
          <w:rFonts w:ascii="Arial;Arial" w:hAnsi="Arial;Arial" w:cs="Arial;Arial"/>
          <w:b/>
          <w:u w:val="none"/>
        </w:rPr>
        <w:t xml:space="preserve">A- Outils géométriques nécessaires en physique pour étudier le changement de direction de propagation de la lumière quand elle </w:t>
      </w:r>
      <w:r w:rsidR="006867FD">
        <w:rPr>
          <w:rFonts w:ascii="Arial;Arial" w:hAnsi="Arial;Arial" w:cs="Arial;Arial"/>
          <w:b/>
          <w:u w:val="none"/>
        </w:rPr>
        <w:t xml:space="preserve">rencontre un nouveau </w:t>
      </w:r>
      <w:r>
        <w:rPr>
          <w:rFonts w:ascii="Arial;Arial" w:hAnsi="Arial;Arial" w:cs="Arial;Arial"/>
          <w:b/>
          <w:u w:val="none"/>
        </w:rPr>
        <w:t xml:space="preserve">milieu transparent </w:t>
      </w:r>
    </w:p>
    <w:p w14:paraId="3AFB411F" w14:textId="67469D38" w:rsidR="006E6481" w:rsidRDefault="006E304C">
      <w:r>
        <w:rPr>
          <w:sz w:val="28"/>
        </w:rPr>
        <w:t xml:space="preserve">Le changement de direction de la lumière lorsqu’elle change de milieu constitue le phénomène de </w:t>
      </w:r>
      <w:r>
        <w:rPr>
          <w:sz w:val="28"/>
          <w:u w:val="single"/>
        </w:rPr>
        <w:t>réfraction</w:t>
      </w:r>
      <w:r>
        <w:rPr>
          <w:sz w:val="28"/>
        </w:rPr>
        <w:t xml:space="preserve">. </w:t>
      </w:r>
      <w:r w:rsidR="00477927">
        <w:rPr>
          <w:sz w:val="28"/>
        </w:rPr>
        <w:t xml:space="preserve">Une partie de la lumière subit également une </w:t>
      </w:r>
      <w:r w:rsidR="00477927" w:rsidRPr="00477927">
        <w:rPr>
          <w:sz w:val="28"/>
          <w:u w:val="single"/>
        </w:rPr>
        <w:t>réflexion</w:t>
      </w:r>
      <w:r w:rsidR="00477927">
        <w:rPr>
          <w:sz w:val="28"/>
        </w:rPr>
        <w:t>.</w:t>
      </w:r>
    </w:p>
    <w:p w14:paraId="53FE16B4" w14:textId="770E6893" w:rsidR="006E6481" w:rsidRDefault="006E304C">
      <w:pPr>
        <w:rPr>
          <w:sz w:val="28"/>
        </w:rPr>
      </w:pPr>
      <w:r>
        <w:rPr>
          <w:sz w:val="28"/>
        </w:rPr>
        <w:t>Pour modéliser et étudier ce</w:t>
      </w:r>
      <w:r w:rsidR="00477927">
        <w:rPr>
          <w:sz w:val="28"/>
        </w:rPr>
        <w:t>s</w:t>
      </w:r>
      <w:r>
        <w:rPr>
          <w:sz w:val="28"/>
        </w:rPr>
        <w:t xml:space="preserve"> changement</w:t>
      </w:r>
      <w:r w:rsidR="00477927">
        <w:rPr>
          <w:sz w:val="28"/>
        </w:rPr>
        <w:t>s</w:t>
      </w:r>
      <w:r>
        <w:rPr>
          <w:sz w:val="28"/>
        </w:rPr>
        <w:t xml:space="preserve"> de direction, on utilise en physique un vocabulaire et des outils particuliers :</w:t>
      </w:r>
    </w:p>
    <w:p w14:paraId="58B00729" w14:textId="77777777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sz w:val="28"/>
        </w:rPr>
        <w:t xml:space="preserve">La surface de séparation de deux milieux est </w:t>
      </w:r>
      <w:proofErr w:type="gramStart"/>
      <w:r>
        <w:rPr>
          <w:sz w:val="28"/>
        </w:rPr>
        <w:t>appelé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dioptre</w:t>
      </w:r>
      <w:r>
        <w:rPr>
          <w:sz w:val="28"/>
        </w:rPr>
        <w:t>. Dans le cas du prisme, les faces d’entrée et de sortie sont des dioptres plans.</w:t>
      </w:r>
    </w:p>
    <w:p w14:paraId="740F8982" w14:textId="56F859C7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8"/>
        </w:rPr>
      </w:pPr>
      <w:r>
        <w:rPr>
          <w:sz w:val="28"/>
        </w:rPr>
        <w:t>Les flux de lumière sont suffisamment fins pour que l’on puisse les considérer comme des rayons lumineux.</w:t>
      </w:r>
    </w:p>
    <w:p w14:paraId="01ED8FEF" w14:textId="29A6D2E7" w:rsidR="00477927" w:rsidRDefault="00FD6681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sz w:val="32"/>
        </w:rPr>
      </w:pPr>
      <w:bookmarkStart w:id="0" w:name="_1036828009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5E43F01D" wp14:editId="5276CD37">
                <wp:simplePos x="0" y="0"/>
                <wp:positionH relativeFrom="column">
                  <wp:posOffset>4691289</wp:posOffset>
                </wp:positionH>
                <wp:positionV relativeFrom="paragraph">
                  <wp:posOffset>1133837</wp:posOffset>
                </wp:positionV>
                <wp:extent cx="1967230" cy="433070"/>
                <wp:effectExtent l="0" t="0" r="0" b="508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A5EAA0" w14:textId="77777777" w:rsidR="006E6481" w:rsidRDefault="006E304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Dioptre = surface de séparation</w:t>
                            </w:r>
                          </w:p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F01D" id="Cadre1" o:spid="_x0000_s1026" style="position:absolute;left:0;text-align:left;margin-left:369.4pt;margin-top:89.3pt;width:154.9pt;height:34.1pt;z-index:251648000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" stroked="f">
                <v:textbox inset="2.56mm,1.29mm,2.56mm,1.29mm">
                  <w:txbxContent>
                    <w:p w14:paraId="1CA5EAA0" w14:textId="77777777" w:rsidR="006E6481" w:rsidRDefault="006E304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Dioptre = surface de séparation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w:drawing>
          <wp:inline distT="0" distB="0" distL="0" distR="0" wp14:anchorId="6BAD3B7C" wp14:editId="3FCA4457">
            <wp:extent cx="4757057" cy="2478978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591" cy="249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BB8A" w14:textId="1150BA75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sz w:val="28"/>
        </w:rPr>
        <w:t xml:space="preserve">Le </w:t>
      </w:r>
      <w:r>
        <w:rPr>
          <w:i/>
          <w:sz w:val="28"/>
        </w:rPr>
        <w:t>point d'incidence</w:t>
      </w:r>
      <w:r>
        <w:rPr>
          <w:sz w:val="28"/>
        </w:rPr>
        <w:t xml:space="preserve"> (noté </w:t>
      </w:r>
      <w:r w:rsidRPr="00FD6681">
        <w:rPr>
          <w:rFonts w:ascii="Times New Roman" w:hAnsi="Times New Roman" w:cs="Times New Roman"/>
          <w:b/>
          <w:bCs/>
          <w:sz w:val="28"/>
        </w:rPr>
        <w:t>I</w:t>
      </w:r>
      <w:r>
        <w:rPr>
          <w:sz w:val="28"/>
        </w:rPr>
        <w:t>) est le point de la surface de séparation où arrive le rayon incident.</w:t>
      </w:r>
      <w:r w:rsidR="00FD6681">
        <w:rPr>
          <w:sz w:val="28"/>
        </w:rPr>
        <w:t xml:space="preserve"> </w:t>
      </w:r>
      <w:r>
        <w:rPr>
          <w:sz w:val="28"/>
        </w:rPr>
        <w:t xml:space="preserve">La </w:t>
      </w:r>
      <w:r>
        <w:rPr>
          <w:i/>
          <w:sz w:val="28"/>
        </w:rPr>
        <w:t>droite normale</w:t>
      </w:r>
      <w:r>
        <w:rPr>
          <w:sz w:val="28"/>
        </w:rPr>
        <w:t xml:space="preserve"> (notée (N)) est la droite perpendiculaire en I à la surface de séparation. Elle sert de référence pour mesurer les angles. </w:t>
      </w:r>
    </w:p>
    <w:p w14:paraId="315248F8" w14:textId="77777777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i/>
          <w:sz w:val="28"/>
        </w:rPr>
        <w:t>L'angle d'incidence</w:t>
      </w:r>
      <w:r>
        <w:rPr>
          <w:sz w:val="28"/>
        </w:rPr>
        <w:t xml:space="preserve"> est l'angle entre la droite (N) et le rayon incident. On note cet angle i.</w:t>
      </w:r>
    </w:p>
    <w:p w14:paraId="3CC60F89" w14:textId="77777777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i/>
          <w:sz w:val="28"/>
        </w:rPr>
        <w:t>L'angle de réfraction</w:t>
      </w:r>
      <w:r>
        <w:rPr>
          <w:sz w:val="28"/>
        </w:rPr>
        <w:t xml:space="preserve"> est l'angle entre la droite (N) et le rayon réfracté. On le note r.</w:t>
      </w:r>
    </w:p>
    <w:p w14:paraId="154ED283" w14:textId="77777777" w:rsidR="006E6481" w:rsidRDefault="006E6481">
      <w:pPr>
        <w:pStyle w:val="Titre3"/>
        <w:numPr>
          <w:ilvl w:val="2"/>
          <w:numId w:val="1"/>
        </w:numPr>
        <w:ind w:left="0" w:firstLine="0"/>
        <w:rPr>
          <w:rFonts w:ascii="Arial;Arial" w:hAnsi="Arial;Arial" w:cs="Arial;Arial"/>
          <w:b/>
        </w:rPr>
      </w:pPr>
    </w:p>
    <w:bookmarkStart w:id="1" w:name="__DdeLink__1063_372170430"/>
    <w:p w14:paraId="542A7674" w14:textId="0787661E" w:rsidR="006867FD" w:rsidRDefault="00533CD5" w:rsidP="006867FD">
      <w:pPr>
        <w:pStyle w:val="Titre3"/>
        <w:numPr>
          <w:ilvl w:val="2"/>
          <w:numId w:val="1"/>
        </w:numPr>
        <w:ind w:left="0" w:firstLine="0"/>
      </w:pPr>
      <w:sdt>
        <w:sdtPr>
          <w:tag w:val="goog_rdk_0"/>
          <w:id w:val="-691601115"/>
        </w:sdtPr>
        <w:sdtEndPr/>
        <w:sdtContent/>
      </w:sdt>
      <w:r w:rsidR="006867FD">
        <w:rPr>
          <w:rFonts w:ascii="Arial;Arial" w:hAnsi="Arial;Arial" w:cs="Arial;Arial"/>
          <w:b/>
        </w:rPr>
        <w:t>B-  Loi de Snell-Descartes relative à la réflexion</w:t>
      </w:r>
    </w:p>
    <w:p w14:paraId="7C0F1628" w14:textId="77777777" w:rsidR="006867FD" w:rsidRDefault="006867FD" w:rsidP="006867FD">
      <w:pPr>
        <w:jc w:val="center"/>
      </w:pPr>
      <w:r>
        <w:rPr>
          <w:sz w:val="28"/>
        </w:rPr>
        <w:t>Les angles d’incidence et de réflexion sont tels que</w:t>
      </w:r>
    </w:p>
    <w:p w14:paraId="69D1EA73" w14:textId="77777777" w:rsidR="006867FD" w:rsidRDefault="006867FD" w:rsidP="006867FD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D3803B0" wp14:editId="1024B22B">
                <wp:simplePos x="0" y="0"/>
                <wp:positionH relativeFrom="column">
                  <wp:posOffset>2189480</wp:posOffset>
                </wp:positionH>
                <wp:positionV relativeFrom="paragraph">
                  <wp:posOffset>42545</wp:posOffset>
                </wp:positionV>
                <wp:extent cx="2425065" cy="5359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00" cy="5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0EBB94" id="Rectangle 4" o:spid="_x0000_s1026" style="position:absolute;margin-left:172.4pt;margin-top:3.35pt;width:190.95pt;height:42.2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" strokeweight=".26mm"/>
            </w:pict>
          </mc:Fallback>
        </mc:AlternateContent>
      </w:r>
    </w:p>
    <w:p w14:paraId="351C299A" w14:textId="77777777" w:rsidR="006867FD" w:rsidRDefault="006867FD" w:rsidP="006867FD">
      <w:pPr>
        <w:jc w:val="center"/>
        <w:rPr>
          <w:sz w:val="28"/>
        </w:rPr>
      </w:pPr>
    </w:p>
    <w:p w14:paraId="1474BB09" w14:textId="77777777" w:rsidR="006867FD" w:rsidRDefault="006867FD" w:rsidP="006867FD">
      <w:pPr>
        <w:jc w:val="center"/>
      </w:pPr>
    </w:p>
    <w:p w14:paraId="0BEEB9F8" w14:textId="7400A0B8" w:rsidR="006E6481" w:rsidRDefault="006867FD">
      <w:pPr>
        <w:pStyle w:val="Titre3"/>
        <w:numPr>
          <w:ilvl w:val="2"/>
          <w:numId w:val="1"/>
        </w:numPr>
        <w:ind w:left="0" w:firstLine="0"/>
        <w:rPr>
          <w:rFonts w:ascii="Arial;Arial" w:hAnsi="Arial;Arial" w:cs="Arial;Arial"/>
          <w:b/>
        </w:rPr>
      </w:pPr>
      <w:r>
        <w:rPr>
          <w:rFonts w:ascii="Arial;Arial" w:hAnsi="Arial;Arial" w:cs="Arial;Arial"/>
          <w:b/>
        </w:rPr>
        <w:t>C</w:t>
      </w:r>
      <w:r w:rsidR="006E304C">
        <w:rPr>
          <w:rFonts w:ascii="Arial;Arial" w:hAnsi="Arial;Arial" w:cs="Arial;Arial"/>
          <w:b/>
        </w:rPr>
        <w:t>-  Loi de Snell-Descartes relative à la réfraction</w:t>
      </w:r>
    </w:p>
    <w:p w14:paraId="070C7CF9" w14:textId="77777777" w:rsidR="006E6481" w:rsidRDefault="006E304C">
      <w:pPr>
        <w:jc w:val="center"/>
        <w:rPr>
          <w:sz w:val="28"/>
        </w:rPr>
      </w:pPr>
      <w:r>
        <w:rPr>
          <w:sz w:val="28"/>
        </w:rPr>
        <w:t>Les angles d’incidence et de réfraction sont tels que</w:t>
      </w:r>
    </w:p>
    <w:p w14:paraId="052317BB" w14:textId="77777777" w:rsidR="006E6481" w:rsidRDefault="006E304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935" distR="114935" simplePos="0" relativeHeight="4294966275" behindDoc="0" locked="0" layoutInCell="1" allowOverlap="1" wp14:anchorId="39846C17" wp14:editId="6AD3D025">
                <wp:simplePos x="0" y="0"/>
                <wp:positionH relativeFrom="column">
                  <wp:posOffset>2189480</wp:posOffset>
                </wp:positionH>
                <wp:positionV relativeFrom="paragraph">
                  <wp:posOffset>42545</wp:posOffset>
                </wp:positionV>
                <wp:extent cx="2425065" cy="5359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00" cy="5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713130" id="Rectangle 3" o:spid="_x0000_s1026" style="position:absolute;margin-left:172.4pt;margin-top:3.35pt;width:190.95pt;height:42.2pt;z-index:-102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" strokeweight=".26mm"/>
            </w:pict>
          </mc:Fallback>
        </mc:AlternateContent>
      </w:r>
    </w:p>
    <w:p w14:paraId="2E52080C" w14:textId="77777777" w:rsidR="006E6481" w:rsidRDefault="006E6481">
      <w:pPr>
        <w:jc w:val="center"/>
        <w:rPr>
          <w:sz w:val="28"/>
        </w:rPr>
      </w:pPr>
    </w:p>
    <w:p w14:paraId="1C0B8728" w14:textId="77777777" w:rsidR="006E6481" w:rsidRDefault="006E6481">
      <w:pPr>
        <w:jc w:val="center"/>
        <w:rPr>
          <w:sz w:val="28"/>
        </w:rPr>
      </w:pPr>
    </w:p>
    <w:p w14:paraId="61609065" w14:textId="1C6393C6" w:rsidR="006867FD" w:rsidRDefault="006E304C">
      <w:pPr>
        <w:jc w:val="center"/>
      </w:pPr>
      <w:proofErr w:type="gramStart"/>
      <w:r>
        <w:rPr>
          <w:sz w:val="28"/>
        </w:rPr>
        <w:t>n</w:t>
      </w:r>
      <w:proofErr w:type="gramEnd"/>
      <w:r>
        <w:rPr>
          <w:sz w:val="28"/>
          <w:vertAlign w:val="subscript"/>
        </w:rPr>
        <w:t>1</w:t>
      </w:r>
      <w:r>
        <w:rPr>
          <w:sz w:val="28"/>
        </w:rPr>
        <w:t xml:space="preserve"> étant l’indice du milieu incident, n</w:t>
      </w:r>
      <w:r>
        <w:rPr>
          <w:sz w:val="28"/>
          <w:vertAlign w:val="subscript"/>
        </w:rPr>
        <w:t>2</w:t>
      </w:r>
      <w:bookmarkEnd w:id="1"/>
      <w:r>
        <w:rPr>
          <w:sz w:val="28"/>
        </w:rPr>
        <w:t xml:space="preserve"> étant l’indice du milieu émergent.</w:t>
      </w:r>
      <w:bookmarkStart w:id="2" w:name="_GoBack"/>
      <w:bookmarkEnd w:id="2"/>
    </w:p>
    <w:sectPr w:rsidR="006867FD" w:rsidSect="00DC14A5">
      <w:headerReference w:type="default" r:id="rId9"/>
      <w:footerReference w:type="default" r:id="rId10"/>
      <w:pgSz w:w="11906" w:h="16838"/>
      <w:pgMar w:top="720" w:right="720" w:bottom="720" w:left="720" w:header="419" w:footer="376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C3B4" w14:textId="77777777" w:rsidR="00533CD5" w:rsidRDefault="00533CD5">
      <w:r>
        <w:separator/>
      </w:r>
    </w:p>
  </w:endnote>
  <w:endnote w:type="continuationSeparator" w:id="0">
    <w:p w14:paraId="00CF1E8F" w14:textId="77777777" w:rsidR="00533CD5" w:rsidRDefault="0053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6867" w14:textId="77777777" w:rsidR="006E6481" w:rsidRDefault="006E304C" w:rsidP="00205BE1">
    <w:pPr>
      <w:pStyle w:val="Pieddepage"/>
      <w:pBdr>
        <w:top w:val="single" w:sz="4" w:space="1" w:color="00000A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>
      <w:rPr>
        <w:noProof/>
      </w:rPr>
      <w:drawing>
        <wp:inline distT="0" distB="0" distL="0" distR="0" wp14:anchorId="22F055B2" wp14:editId="791458F7">
          <wp:extent cx="1449070" cy="340995"/>
          <wp:effectExtent l="0" t="0" r="0" b="0"/>
          <wp:docPr id="6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Schoolbook" w:hAnsi="Century Schoolbook"/>
        <w:color w:val="31849B" w:themeColor="accent5" w:themeShade="BF"/>
        <w:sz w:val="16"/>
      </w:rPr>
      <w:tab/>
    </w:r>
    <w:r>
      <w:rPr>
        <w:rFonts w:ascii="Century Schoolbook" w:hAnsi="Century Schoolbook"/>
        <w:color w:val="31849B" w:themeColor="accent5" w:themeShade="BF"/>
        <w:sz w:val="16"/>
      </w:rPr>
      <w:tab/>
    </w:r>
    <w:proofErr w:type="gramStart"/>
    <w:r>
      <w:rPr>
        <w:color w:val="31849B" w:themeColor="accent5" w:themeShade="BF"/>
      </w:rPr>
      <w:t>classe</w:t>
    </w:r>
    <w:proofErr w:type="gramEnd"/>
    <w:r>
      <w:rPr>
        <w:color w:val="31849B" w:themeColor="accent5" w:themeShade="BF"/>
      </w:rPr>
      <w:t xml:space="preserve">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1FA53" w14:textId="77777777" w:rsidR="00533CD5" w:rsidRDefault="00533CD5">
      <w:r>
        <w:separator/>
      </w:r>
    </w:p>
  </w:footnote>
  <w:footnote w:type="continuationSeparator" w:id="0">
    <w:p w14:paraId="1E576C62" w14:textId="77777777" w:rsidR="00533CD5" w:rsidRDefault="0053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5655" w14:textId="6275C81E" w:rsidR="006E6481" w:rsidRPr="00205BE1" w:rsidRDefault="00205BE1" w:rsidP="00205BE1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>
      <w:rPr>
        <w:noProof/>
        <w:color w:val="31849B" w:themeColor="accent5" w:themeShade="BF"/>
        <w:sz w:val="36"/>
      </w:rPr>
      <w:drawing>
        <wp:inline distT="0" distB="0" distL="0" distR="0" wp14:anchorId="4CB08670" wp14:editId="2B2254E0">
          <wp:extent cx="505145" cy="499479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50" cy="5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>VISION et IMAGE</w:t>
    </w:r>
    <w:r w:rsidRPr="00C30C58">
      <w:rPr>
        <w:color w:val="31849B" w:themeColor="accent5" w:themeShade="BF"/>
      </w:rPr>
      <w:tab/>
    </w:r>
    <w:r w:rsidRPr="00C30C58">
      <w:rPr>
        <w:color w:val="31849B" w:themeColor="accent5" w:themeShade="BF"/>
      </w:rPr>
      <w:tab/>
      <w:t xml:space="preserve">Chapitre </w:t>
    </w:r>
    <w:r>
      <w:rPr>
        <w:color w:val="31849B" w:themeColor="accent5" w:themeShade="BF"/>
      </w:rPr>
      <w:t>2</w:t>
    </w:r>
    <w:r w:rsidRPr="00C30C58">
      <w:rPr>
        <w:color w:val="31849B" w:themeColor="accent5" w:themeShade="BF"/>
      </w:rPr>
      <w:t xml:space="preserve"> -</w:t>
    </w:r>
    <w:r>
      <w:rPr>
        <w:color w:val="31849B" w:themeColor="accent5" w:themeShade="BF"/>
      </w:rPr>
      <w:t xml:space="preserve"> Modèle</w:t>
    </w:r>
    <w:r w:rsidRPr="00C30C58">
      <w:rPr>
        <w:noProof/>
        <w:color w:val="31849B" w:themeColor="accent5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81710"/>
    <w:multiLevelType w:val="multilevel"/>
    <w:tmpl w:val="02248D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D66752"/>
    <w:multiLevelType w:val="multilevel"/>
    <w:tmpl w:val="FCAA8D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481"/>
    <w:rsid w:val="00205BE1"/>
    <w:rsid w:val="002D71A4"/>
    <w:rsid w:val="00477927"/>
    <w:rsid w:val="004821BA"/>
    <w:rsid w:val="00533CD5"/>
    <w:rsid w:val="00672506"/>
    <w:rsid w:val="006867FD"/>
    <w:rsid w:val="006E304C"/>
    <w:rsid w:val="006E6481"/>
    <w:rsid w:val="00B73B99"/>
    <w:rsid w:val="00B77DEC"/>
    <w:rsid w:val="00BB76F6"/>
    <w:rsid w:val="00D6571B"/>
    <w:rsid w:val="00DC14A5"/>
    <w:rsid w:val="00E47336"/>
    <w:rsid w:val="00EE361A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CFA8"/>
  <w15:docId w15:val="{37B0D519-CD96-468A-9C1C-761DBBC8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color w:val="00000A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pPr>
      <w:keepNext/>
      <w:ind w:left="425"/>
      <w:outlineLvl w:val="2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2Car">
    <w:name w:val="Corps de texte 2 Car"/>
    <w:link w:val="Corpsdetexte2"/>
    <w:uiPriority w:val="99"/>
    <w:semiHidden/>
    <w:qFormat/>
    <w:rsid w:val="001F4030"/>
    <w:rPr>
      <w:sz w:val="24"/>
    </w:rPr>
  </w:style>
  <w:style w:type="character" w:customStyle="1" w:styleId="TexteActivitCar">
    <w:name w:val="TexteActivité Car"/>
    <w:link w:val="TexteActivit"/>
    <w:qFormat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6EAD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qFormat/>
    <w:rsid w:val="00336CFF"/>
    <w:rPr>
      <w:rFonts w:ascii="Verdana" w:hAnsi="Verdana"/>
      <w:sz w:val="4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ArialMT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Retraitcorpsdetexte31">
    <w:name w:val="Retrait corps de texte 31"/>
    <w:basedOn w:val="Normal"/>
    <w:qFormat/>
    <w:pPr>
      <w:ind w:left="360"/>
    </w:pPr>
    <w:rPr>
      <w:color w:val="000000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uiPriority w:val="10"/>
    <w:qFormat/>
    <w:pPr>
      <w:jc w:val="center"/>
    </w:pPr>
    <w:rPr>
      <w:rFonts w:ascii="Verdana" w:hAnsi="Verdana"/>
      <w:sz w:val="40"/>
    </w:rPr>
  </w:style>
  <w:style w:type="paragraph" w:customStyle="1" w:styleId="Retraitdecorpsdetexte">
    <w:name w:val="Retrait de corps de texte"/>
    <w:basedOn w:val="Normal"/>
    <w:rsid w:val="00BC66B3"/>
    <w:pPr>
      <w:spacing w:after="120"/>
      <w:ind w:left="283"/>
    </w:p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1F4030"/>
    <w:pPr>
      <w:spacing w:after="120" w:line="480" w:lineRule="auto"/>
    </w:pPr>
  </w:style>
  <w:style w:type="paragraph" w:customStyle="1" w:styleId="0suite">
    <w:name w:val="0 suite"/>
    <w:basedOn w:val="Normal"/>
    <w:qFormat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color w:val="00000A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paragraph" w:customStyle="1" w:styleId="Physique">
    <w:name w:val="Physique"/>
    <w:basedOn w:val="Normal"/>
    <w:qFormat/>
    <w:rsid w:val="00D8402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overflowPunct w:val="0"/>
    </w:pPr>
    <w:rPr>
      <w:rFonts w:ascii="Palatino" w:hAnsi="Palatino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o1GZ+EMv7M7ec1KI2/2eKvXmolA==">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13</cp:revision>
  <cp:lastPrinted>2019-01-30T15:10:00Z</cp:lastPrinted>
  <dcterms:created xsi:type="dcterms:W3CDTF">2019-05-08T08:07:00Z</dcterms:created>
  <dcterms:modified xsi:type="dcterms:W3CDTF">2019-07-13T14:35:00Z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